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</w:p>
    <w:p w:rsidR="003B69F8" w:rsidRDefault="003B69F8" w:rsidP="003B69F8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0E54D96B" wp14:editId="68258774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</w:p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Nota ACIF – ACIF ausculta as Mesas </w:t>
      </w:r>
      <w:r w:rsidR="00AE0F47">
        <w:rPr>
          <w:rFonts w:cstheme="minorHAnsi"/>
          <w:b/>
          <w:bCs/>
          <w:sz w:val="28"/>
          <w:szCs w:val="28"/>
        </w:rPr>
        <w:t>do setor do turismo</w:t>
      </w:r>
    </w:p>
    <w:p w:rsidR="0003059C" w:rsidRDefault="0003059C" w:rsidP="003B69F8">
      <w:pPr>
        <w:jc w:val="both"/>
        <w:rPr>
          <w:sz w:val="24"/>
          <w:szCs w:val="24"/>
        </w:rPr>
      </w:pPr>
    </w:p>
    <w:p w:rsidR="003B69F8" w:rsidRDefault="003B69F8" w:rsidP="00AE0F47">
      <w:pPr>
        <w:jc w:val="both"/>
        <w:rPr>
          <w:sz w:val="24"/>
          <w:szCs w:val="24"/>
        </w:rPr>
      </w:pPr>
      <w:r>
        <w:rPr>
          <w:sz w:val="24"/>
          <w:szCs w:val="24"/>
        </w:rPr>
        <w:t>A ACIF encontra-se a auscultar os seus associados, através da realização de reuniões on</w:t>
      </w:r>
      <w:bookmarkStart w:id="0" w:name="_GoBack"/>
      <w:bookmarkEnd w:id="0"/>
      <w:r>
        <w:rPr>
          <w:sz w:val="24"/>
          <w:szCs w:val="24"/>
        </w:rPr>
        <w:t>line, com as diversas Mesas dos setores de atividade que enfrentam maiores constrangimentos, nesta fase da retoma económica, derivado ao facto de estarem mais dependentes do mercado turístico.</w:t>
      </w:r>
    </w:p>
    <w:p w:rsidR="003B69F8" w:rsidRDefault="003B69F8" w:rsidP="00AE0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Até ao momento já foram ouvidas as Mesas do setor </w:t>
      </w:r>
      <w:r w:rsidR="00AE0F47">
        <w:rPr>
          <w:sz w:val="24"/>
          <w:szCs w:val="24"/>
        </w:rPr>
        <w:t>da animação turística, do setor da hotelaria e do setor das agências de viagens.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>As notícias vindas a público recentemente são animadoras, nomeadamente o fim da quarentena obrigatória a partir do dia 1 de julho, a assunção do custo dos testes realizados à chegada e a abolição do limite de 2/3 de ocupação da capacidade dos aviões, pese embora ainda haja algum desconhecimento em relação à realização dos testes à chegada, mais concretamente sobre o tempo de espera até a obtenção do resultado.</w:t>
      </w:r>
    </w:p>
    <w:p w:rsidR="00AE0F47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>A ACIF considera que estas últimas medidas, embora tardias, são de extrema importância para a dinamização do setor do turismo e para a negociação com os operadores, pois, sem transmitirmos aos mercados, de forma muita clara, quais são as regras, m</w:t>
      </w:r>
      <w:r w:rsidR="00EB5938">
        <w:rPr>
          <w:sz w:val="24"/>
          <w:szCs w:val="24"/>
        </w:rPr>
        <w:t xml:space="preserve">uito dificilmente conseguiremos </w:t>
      </w:r>
      <w:r w:rsidR="00EB5938" w:rsidRPr="00EB5938">
        <w:rPr>
          <w:sz w:val="24"/>
          <w:szCs w:val="24"/>
        </w:rPr>
        <w:t xml:space="preserve">que </w:t>
      </w:r>
      <w:r w:rsidR="00EB5938">
        <w:rPr>
          <w:sz w:val="24"/>
          <w:szCs w:val="24"/>
        </w:rPr>
        <w:t xml:space="preserve">nossa Região seja considerada como destino de eleição na reprogramação dos operadores/companhias para o verão e que a </w:t>
      </w:r>
      <w:r w:rsidR="00AE0F47" w:rsidRPr="00EB5938">
        <w:rPr>
          <w:sz w:val="24"/>
          <w:szCs w:val="24"/>
        </w:rPr>
        <w:t xml:space="preserve">gestão </w:t>
      </w:r>
      <w:r w:rsidR="00EB5938">
        <w:rPr>
          <w:sz w:val="24"/>
          <w:szCs w:val="24"/>
        </w:rPr>
        <w:t>eficaz</w:t>
      </w:r>
      <w:r w:rsidR="00AE0F47" w:rsidRPr="00EB5938">
        <w:rPr>
          <w:sz w:val="24"/>
          <w:szCs w:val="24"/>
        </w:rPr>
        <w:t xml:space="preserve"> da situação epidemiológica  (poucos casos e nenhuma morte),</w:t>
      </w:r>
      <w:r w:rsidR="00EB5938">
        <w:rPr>
          <w:sz w:val="24"/>
          <w:szCs w:val="24"/>
        </w:rPr>
        <w:t xml:space="preserve"> seja uma vantagem competitiva.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Todo o setor do Turismo é unânime em considerar que a comunicação e a promoção são fatores essenciais, sobretudo junto dos mercados com quem queremos manter maior proximidade.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>A segurança no território foi também um dos aspetos relevados, que deve ser balanceada com a importância de não prejudicarmos a experiência, que deve ser o mais natural e autêntica possível. Desta forma, conseguimos distinguir-nos dos destinos concorrentes e manter os preços, associados à qualidade do destino.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Ainda no que respeita à segurança em termos de saúde pública, importa haver uma orientação relativamente ao número de casos que poderá ditar um novo encerramento.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>A necessidade de reforçar as medidas de apoio e a sua prorrogação para além do tempo que está definido (junho), foi um ponto muito recorrente em todas as reuniões, tendo sido referido que as verbas das linhas lançadas para apoio à tesouraria ainda não chegaram às empresas, assim como grande parte das verbas inerentes aos processos de layoff simplificado, o que deixa as empresas numa situação muito delicada.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>Não nos podemos esquecer que muitas das empresas que vão abrir no curto espaço de tempo, terão que realizar investimentos para cumprir com os requisitos e recomendações das autoridades de Saúde, pelo que carecem de apoios adicionais, não só para os equipamentos e infra-estruturas, mas também para as necessidades acrescidas de mão-de-obra que as novas regras obrigam. Neste ponto, foi salientado o facto dos trabalhadores atualmente em layoff ainda terem os seus períodos de férias por gozar e os subsídios de férias e Natal não estarem abrangidos neste apoio.</w:t>
      </w:r>
    </w:p>
    <w:p w:rsidR="003B69F8" w:rsidRDefault="003B69F8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>De igual modo, tendo sido anunciada uma linha regional, semelhante à linha nacional ADAPTAR, destacou-se a importância de assegurar que este mecanismo esteja acessível a todos os agentes económicos, independentemente da sua dimensão e tipologia.</w:t>
      </w:r>
    </w:p>
    <w:p w:rsidR="00AE0F47" w:rsidRDefault="00AE0F47" w:rsidP="00AE0F47">
      <w:pPr>
        <w:pStyle w:val="NormalWeb"/>
      </w:pPr>
      <w:r>
        <w:t> </w:t>
      </w:r>
    </w:p>
    <w:p w:rsidR="00AE0F47" w:rsidRDefault="00AE0F47" w:rsidP="00AE0F47">
      <w:pPr>
        <w:pStyle w:val="NormalWeb"/>
        <w:jc w:val="both"/>
      </w:pPr>
      <w:r>
        <w:t> </w:t>
      </w:r>
    </w:p>
    <w:p w:rsidR="005E40F6" w:rsidRDefault="005E40F6"/>
    <w:sectPr w:rsidR="005E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F"/>
    <w:rsid w:val="0003059C"/>
    <w:rsid w:val="003B69F8"/>
    <w:rsid w:val="00421349"/>
    <w:rsid w:val="005E40F6"/>
    <w:rsid w:val="00AE0F47"/>
    <w:rsid w:val="00E9392F"/>
    <w:rsid w:val="00E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8"/>
    <w:pPr>
      <w:spacing w:after="160"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69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8"/>
    <w:pPr>
      <w:spacing w:after="160"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69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Cardoso - ACIF-CCIM</dc:creator>
  <cp:keywords/>
  <dc:description/>
  <cp:lastModifiedBy>Frederica Cardoso - ACIF-CCIM</cp:lastModifiedBy>
  <cp:revision>5</cp:revision>
  <dcterms:created xsi:type="dcterms:W3CDTF">2020-05-22T15:41:00Z</dcterms:created>
  <dcterms:modified xsi:type="dcterms:W3CDTF">2020-06-30T10:01:00Z</dcterms:modified>
</cp:coreProperties>
</file>