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EE400" w14:textId="0DD83BBB" w:rsidR="00EC63D8" w:rsidRPr="002D5C2B" w:rsidRDefault="000A0CB3" w:rsidP="002D5C2B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0CDC7129" wp14:editId="2C7C39A4">
            <wp:extent cx="695325" cy="1247775"/>
            <wp:effectExtent l="0" t="0" r="9525" b="0"/>
            <wp:docPr id="1" name="Imagem 1" descr="R:\REGISTOS SGQ\Logotipos e Apresentações\ACIF\acif_logo_azul_transparen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:\REGISTOS SGQ\Logotipos e Apresentações\ACIF\acif_logo_azul_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7579A" w14:textId="7CD7BFAD" w:rsidR="00C67482" w:rsidRPr="000A0CB3" w:rsidRDefault="00C67482" w:rsidP="00C67482">
      <w:pPr>
        <w:jc w:val="center"/>
        <w:rPr>
          <w:rFonts w:cstheme="minorHAnsi"/>
          <w:b/>
          <w:bCs/>
          <w:sz w:val="28"/>
          <w:szCs w:val="28"/>
        </w:rPr>
      </w:pPr>
      <w:r w:rsidRPr="000A0CB3">
        <w:rPr>
          <w:rFonts w:cstheme="minorHAnsi"/>
          <w:b/>
          <w:bCs/>
          <w:sz w:val="28"/>
          <w:szCs w:val="28"/>
        </w:rPr>
        <w:t>Nota de Imprensa</w:t>
      </w:r>
    </w:p>
    <w:p w14:paraId="75F932BC" w14:textId="5C3C3C0A" w:rsidR="000A0CB3" w:rsidRDefault="002D5C2B" w:rsidP="000A0CB3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4A43C" wp14:editId="53210231">
                <wp:simplePos x="0" y="0"/>
                <wp:positionH relativeFrom="column">
                  <wp:posOffset>333375</wp:posOffset>
                </wp:positionH>
                <wp:positionV relativeFrom="paragraph">
                  <wp:posOffset>99695</wp:posOffset>
                </wp:positionV>
                <wp:extent cx="5353050" cy="0"/>
                <wp:effectExtent l="0" t="0" r="0" b="0"/>
                <wp:wrapNone/>
                <wp:docPr id="7" name="Conexão rec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D1E0D" id="Conexão recta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7.85pt" to="44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33571D00" w14:textId="14FCE48E" w:rsidR="00EC63D8" w:rsidRPr="000A0CB3" w:rsidRDefault="000A0CB3" w:rsidP="000A0CB3">
      <w:pPr>
        <w:rPr>
          <w:rFonts w:cstheme="minorHAnsi"/>
          <w:b/>
          <w:bCs/>
          <w:sz w:val="28"/>
          <w:szCs w:val="28"/>
        </w:rPr>
      </w:pPr>
      <w:r w:rsidRPr="000A0CB3">
        <w:rPr>
          <w:rFonts w:cstheme="minorHAnsi"/>
          <w:b/>
          <w:bCs/>
          <w:sz w:val="28"/>
          <w:szCs w:val="28"/>
        </w:rPr>
        <w:t>O Futuro da Mobilidade Elétrica na Madeira: Oportunidades para os utilizadores</w:t>
      </w:r>
    </w:p>
    <w:p w14:paraId="300056ED" w14:textId="77777777" w:rsidR="00EC63D8" w:rsidRPr="000A0CB3" w:rsidRDefault="00EC63D8" w:rsidP="00EC63D8">
      <w:pPr>
        <w:rPr>
          <w:rFonts w:cstheme="minorHAnsi"/>
          <w:sz w:val="24"/>
          <w:szCs w:val="24"/>
        </w:rPr>
      </w:pPr>
    </w:p>
    <w:p w14:paraId="2E1B1A7A" w14:textId="7F00D17D" w:rsidR="00EC63D8" w:rsidRPr="000A0CB3" w:rsidRDefault="00EC63D8" w:rsidP="00C67482">
      <w:pPr>
        <w:jc w:val="both"/>
        <w:rPr>
          <w:rFonts w:cstheme="minorHAnsi"/>
          <w:sz w:val="24"/>
          <w:szCs w:val="24"/>
        </w:rPr>
      </w:pPr>
      <w:r w:rsidRPr="000A0CB3">
        <w:rPr>
          <w:rFonts w:cstheme="minorHAnsi"/>
          <w:sz w:val="24"/>
          <w:szCs w:val="24"/>
        </w:rPr>
        <w:t>Teve lugar esta manhã (19 de janeiro) o webinar “O Futuro da Mobilidade Elétrica na Madeira: Oportunidades para os Utilizadores”,</w:t>
      </w:r>
      <w:r w:rsidR="00C67482" w:rsidRPr="000A0CB3">
        <w:rPr>
          <w:rFonts w:cstheme="minorHAnsi"/>
          <w:sz w:val="24"/>
          <w:szCs w:val="24"/>
        </w:rPr>
        <w:t xml:space="preserve"> no âmbito do projeto INSULAE,</w:t>
      </w:r>
      <w:r w:rsidRPr="000A0CB3">
        <w:rPr>
          <w:rFonts w:cstheme="minorHAnsi"/>
          <w:sz w:val="24"/>
          <w:szCs w:val="24"/>
        </w:rPr>
        <w:t xml:space="preserve"> contando com os seguintes intervenientes: Isabel Catarina Rodrigues (DRETT); Henrique Correia (EEM); Carlos Camacho (Diversauto – Concessionário da Nissan) e Nuno Sé Neves (utilizador de veículo elétrico). </w:t>
      </w:r>
      <w:r w:rsidR="00C67482" w:rsidRPr="000A0CB3">
        <w:rPr>
          <w:rFonts w:cstheme="minorHAnsi"/>
          <w:sz w:val="24"/>
          <w:szCs w:val="24"/>
        </w:rPr>
        <w:t xml:space="preserve">A sessão de abertura contou com </w:t>
      </w:r>
      <w:r w:rsidRPr="000A0CB3">
        <w:rPr>
          <w:rFonts w:cstheme="minorHAnsi"/>
          <w:sz w:val="24"/>
          <w:szCs w:val="24"/>
        </w:rPr>
        <w:t>o Vice-presidente da Direção da ACIF-CCIM</w:t>
      </w:r>
      <w:r w:rsidR="001815D9" w:rsidRPr="000A0CB3">
        <w:rPr>
          <w:rFonts w:cstheme="minorHAnsi"/>
          <w:sz w:val="24"/>
          <w:szCs w:val="24"/>
        </w:rPr>
        <w:t xml:space="preserve">, </w:t>
      </w:r>
      <w:r w:rsidRPr="000A0CB3">
        <w:rPr>
          <w:rFonts w:cstheme="minorHAnsi"/>
          <w:sz w:val="24"/>
          <w:szCs w:val="24"/>
        </w:rPr>
        <w:t>António Jardim Fernandes</w:t>
      </w:r>
      <w:r w:rsidR="001815D9" w:rsidRPr="000A0CB3">
        <w:rPr>
          <w:rFonts w:cstheme="minorHAnsi"/>
          <w:sz w:val="24"/>
          <w:szCs w:val="24"/>
        </w:rPr>
        <w:t xml:space="preserve">, </w:t>
      </w:r>
      <w:r w:rsidR="00C67482" w:rsidRPr="000A0CB3">
        <w:rPr>
          <w:rFonts w:cstheme="minorHAnsi"/>
          <w:sz w:val="24"/>
          <w:szCs w:val="24"/>
        </w:rPr>
        <w:t>e a moderação do evento ficou a cargo de M</w:t>
      </w:r>
      <w:r w:rsidRPr="000A0CB3">
        <w:rPr>
          <w:rFonts w:cstheme="minorHAnsi"/>
          <w:sz w:val="24"/>
          <w:szCs w:val="24"/>
        </w:rPr>
        <w:t>arco Vieira</w:t>
      </w:r>
      <w:r w:rsidR="001815D9" w:rsidRPr="000A0CB3">
        <w:rPr>
          <w:rFonts w:cstheme="minorHAnsi"/>
          <w:sz w:val="24"/>
          <w:szCs w:val="24"/>
        </w:rPr>
        <w:t>, Coordenador do Departamento das Tecnologias de Informação</w:t>
      </w:r>
      <w:r w:rsidRPr="000A0CB3">
        <w:rPr>
          <w:rFonts w:cstheme="minorHAnsi"/>
          <w:sz w:val="24"/>
          <w:szCs w:val="24"/>
        </w:rPr>
        <w:t xml:space="preserve"> (ACIF-CCIM)</w:t>
      </w:r>
      <w:r w:rsidR="00C67482" w:rsidRPr="000A0CB3">
        <w:rPr>
          <w:rFonts w:cstheme="minorHAnsi"/>
          <w:sz w:val="24"/>
          <w:szCs w:val="24"/>
        </w:rPr>
        <w:t>.</w:t>
      </w:r>
    </w:p>
    <w:p w14:paraId="5EBB1D58" w14:textId="4B619A60" w:rsidR="00C67482" w:rsidRPr="000A0CB3" w:rsidRDefault="00C67482" w:rsidP="00C67482">
      <w:pPr>
        <w:jc w:val="both"/>
        <w:rPr>
          <w:rFonts w:cstheme="minorHAnsi"/>
          <w:sz w:val="24"/>
          <w:szCs w:val="24"/>
        </w:rPr>
      </w:pPr>
    </w:p>
    <w:p w14:paraId="257A3177" w14:textId="77777777" w:rsidR="00C67482" w:rsidRPr="000A0CB3" w:rsidRDefault="00C67482" w:rsidP="00C67482">
      <w:pPr>
        <w:jc w:val="both"/>
        <w:rPr>
          <w:rFonts w:cstheme="minorHAnsi"/>
          <w:b/>
          <w:bCs/>
          <w:sz w:val="24"/>
          <w:szCs w:val="24"/>
        </w:rPr>
      </w:pPr>
      <w:r w:rsidRPr="000A0CB3">
        <w:rPr>
          <w:rFonts w:cstheme="minorHAnsi"/>
          <w:b/>
          <w:bCs/>
          <w:sz w:val="24"/>
          <w:szCs w:val="24"/>
        </w:rPr>
        <w:t>O INSULAE visa promover a implementação de soluções inovadoras para a descarbonização das ilhas da UE, desenvolvendo e demonstrando em três ilhas “farol” um conjunto de intervenções vinculadas a sete casos de teste replicáveis, cujos resultados validarão uma ferramenta de planeamento de investimentos (IPT), que será então demonstrada em três ilhas “seguidoras”.</w:t>
      </w:r>
    </w:p>
    <w:p w14:paraId="5FD45423" w14:textId="77777777" w:rsidR="00C67482" w:rsidRPr="000A0CB3" w:rsidRDefault="00C67482" w:rsidP="00C67482">
      <w:pPr>
        <w:jc w:val="both"/>
        <w:rPr>
          <w:rFonts w:cstheme="minorHAnsi"/>
          <w:sz w:val="24"/>
          <w:szCs w:val="24"/>
        </w:rPr>
      </w:pPr>
    </w:p>
    <w:p w14:paraId="7381BCC9" w14:textId="35ECFDE0" w:rsidR="00C67482" w:rsidRPr="000A0CB3" w:rsidRDefault="00C67482" w:rsidP="00C67482">
      <w:pPr>
        <w:jc w:val="both"/>
        <w:rPr>
          <w:rFonts w:cstheme="minorHAnsi"/>
          <w:sz w:val="24"/>
          <w:szCs w:val="24"/>
        </w:rPr>
      </w:pPr>
      <w:r w:rsidRPr="000A0CB3">
        <w:rPr>
          <w:rFonts w:cstheme="minorHAnsi"/>
          <w:sz w:val="24"/>
          <w:szCs w:val="24"/>
        </w:rPr>
        <w:t xml:space="preserve">O “INSULAE – </w:t>
      </w:r>
      <w:proofErr w:type="spellStart"/>
      <w:r w:rsidRPr="000A0CB3">
        <w:rPr>
          <w:rFonts w:cstheme="minorHAnsi"/>
          <w:sz w:val="24"/>
          <w:szCs w:val="24"/>
        </w:rPr>
        <w:t>Maximizing</w:t>
      </w:r>
      <w:proofErr w:type="spellEnd"/>
      <w:r w:rsidRPr="000A0CB3">
        <w:rPr>
          <w:rFonts w:cstheme="minorHAnsi"/>
          <w:sz w:val="24"/>
          <w:szCs w:val="24"/>
        </w:rPr>
        <w:t xml:space="preserve"> the </w:t>
      </w:r>
      <w:proofErr w:type="spellStart"/>
      <w:r w:rsidRPr="000A0CB3">
        <w:rPr>
          <w:rFonts w:cstheme="minorHAnsi"/>
          <w:sz w:val="24"/>
          <w:szCs w:val="24"/>
        </w:rPr>
        <w:t>impact</w:t>
      </w:r>
      <w:proofErr w:type="spellEnd"/>
      <w:r w:rsidRPr="000A0CB3">
        <w:rPr>
          <w:rFonts w:cstheme="minorHAnsi"/>
          <w:sz w:val="24"/>
          <w:szCs w:val="24"/>
        </w:rPr>
        <w:t xml:space="preserve"> </w:t>
      </w:r>
      <w:proofErr w:type="spellStart"/>
      <w:r w:rsidRPr="000A0CB3">
        <w:rPr>
          <w:rFonts w:cstheme="minorHAnsi"/>
          <w:sz w:val="24"/>
          <w:szCs w:val="24"/>
        </w:rPr>
        <w:t>of</w:t>
      </w:r>
      <w:proofErr w:type="spellEnd"/>
      <w:r w:rsidRPr="000A0CB3">
        <w:rPr>
          <w:rFonts w:cstheme="minorHAnsi"/>
          <w:sz w:val="24"/>
          <w:szCs w:val="24"/>
        </w:rPr>
        <w:t xml:space="preserve"> </w:t>
      </w:r>
      <w:proofErr w:type="spellStart"/>
      <w:r w:rsidRPr="000A0CB3">
        <w:rPr>
          <w:rFonts w:cstheme="minorHAnsi"/>
          <w:sz w:val="24"/>
          <w:szCs w:val="24"/>
        </w:rPr>
        <w:t>innovative</w:t>
      </w:r>
      <w:proofErr w:type="spellEnd"/>
      <w:r w:rsidRPr="000A0CB3">
        <w:rPr>
          <w:rFonts w:cstheme="minorHAnsi"/>
          <w:sz w:val="24"/>
          <w:szCs w:val="24"/>
        </w:rPr>
        <w:t xml:space="preserve"> </w:t>
      </w:r>
      <w:proofErr w:type="spellStart"/>
      <w:r w:rsidRPr="000A0CB3">
        <w:rPr>
          <w:rFonts w:cstheme="minorHAnsi"/>
          <w:sz w:val="24"/>
          <w:szCs w:val="24"/>
        </w:rPr>
        <w:t>energy</w:t>
      </w:r>
      <w:proofErr w:type="spellEnd"/>
      <w:r w:rsidRPr="000A0CB3">
        <w:rPr>
          <w:rFonts w:cstheme="minorHAnsi"/>
          <w:sz w:val="24"/>
          <w:szCs w:val="24"/>
        </w:rPr>
        <w:t xml:space="preserve"> </w:t>
      </w:r>
      <w:proofErr w:type="spellStart"/>
      <w:r w:rsidRPr="000A0CB3">
        <w:rPr>
          <w:rFonts w:cstheme="minorHAnsi"/>
          <w:sz w:val="24"/>
          <w:szCs w:val="24"/>
        </w:rPr>
        <w:t>approaches</w:t>
      </w:r>
      <w:proofErr w:type="spellEnd"/>
      <w:r w:rsidRPr="000A0CB3">
        <w:rPr>
          <w:rFonts w:cstheme="minorHAnsi"/>
          <w:sz w:val="24"/>
          <w:szCs w:val="24"/>
        </w:rPr>
        <w:t xml:space="preserve"> in the EU </w:t>
      </w:r>
      <w:proofErr w:type="spellStart"/>
      <w:r w:rsidRPr="000A0CB3">
        <w:rPr>
          <w:rFonts w:cstheme="minorHAnsi"/>
          <w:sz w:val="24"/>
          <w:szCs w:val="24"/>
        </w:rPr>
        <w:t>islands</w:t>
      </w:r>
      <w:proofErr w:type="spellEnd"/>
      <w:r w:rsidRPr="000A0CB3">
        <w:rPr>
          <w:rFonts w:cstheme="minorHAnsi"/>
          <w:sz w:val="24"/>
          <w:szCs w:val="24"/>
        </w:rPr>
        <w:t xml:space="preserve">”, iniciativa </w:t>
      </w:r>
      <w:proofErr w:type="spellStart"/>
      <w:r w:rsidRPr="000A0CB3">
        <w:rPr>
          <w:rFonts w:cstheme="minorHAnsi"/>
          <w:sz w:val="24"/>
          <w:szCs w:val="24"/>
        </w:rPr>
        <w:t>co-financiada</w:t>
      </w:r>
      <w:proofErr w:type="spellEnd"/>
      <w:r w:rsidRPr="000A0CB3">
        <w:rPr>
          <w:rFonts w:cstheme="minorHAnsi"/>
          <w:sz w:val="24"/>
          <w:szCs w:val="24"/>
        </w:rPr>
        <w:t xml:space="preserve"> pela Comissão Europeia através do programa Horizonte 2020, tem como principal objetivo fomentar a implementação de soluções inovadoras para a descarbonização de ilhas da União Europeia.</w:t>
      </w:r>
    </w:p>
    <w:p w14:paraId="7A6C33CE" w14:textId="1D80B5C4" w:rsidR="00C67482" w:rsidRPr="000A0CB3" w:rsidRDefault="00C67482" w:rsidP="00C67482">
      <w:pPr>
        <w:jc w:val="both"/>
        <w:rPr>
          <w:rFonts w:cstheme="minorHAnsi"/>
          <w:sz w:val="24"/>
          <w:szCs w:val="24"/>
        </w:rPr>
      </w:pPr>
      <w:r w:rsidRPr="000A0CB3">
        <w:rPr>
          <w:rFonts w:cstheme="minorHAnsi"/>
          <w:sz w:val="24"/>
          <w:szCs w:val="24"/>
        </w:rPr>
        <w:t xml:space="preserve">Para a RAM o projeto terá um </w:t>
      </w:r>
      <w:r w:rsidRPr="000A0CB3">
        <w:rPr>
          <w:rFonts w:cstheme="minorHAnsi"/>
          <w:b/>
          <w:bCs/>
          <w:sz w:val="24"/>
          <w:szCs w:val="24"/>
        </w:rPr>
        <w:t>orçamento global de aproximadamente 1.000.000 €.</w:t>
      </w:r>
    </w:p>
    <w:p w14:paraId="2F3F9EDF" w14:textId="77777777" w:rsidR="00C67482" w:rsidRPr="000A0CB3" w:rsidRDefault="00C67482" w:rsidP="00C67482">
      <w:pPr>
        <w:jc w:val="both"/>
        <w:rPr>
          <w:rFonts w:cstheme="minorHAnsi"/>
          <w:sz w:val="24"/>
          <w:szCs w:val="24"/>
        </w:rPr>
      </w:pPr>
      <w:r w:rsidRPr="000A0CB3">
        <w:rPr>
          <w:rFonts w:cstheme="minorHAnsi"/>
          <w:sz w:val="24"/>
          <w:szCs w:val="24"/>
        </w:rPr>
        <w:t>Este projeto reúne 26 parceiros de diversos países, incluindo instituições de pesquisa, universidades, serviços públicos, municípios e empresas que atuam no setor da energia, sendo o consórcio liderado pelo centro de pesquisa espanhol CIRCE.</w:t>
      </w:r>
    </w:p>
    <w:p w14:paraId="7476DB3D" w14:textId="0CBEC41E" w:rsidR="00C67482" w:rsidRPr="000A0CB3" w:rsidRDefault="00C67482" w:rsidP="00C67482">
      <w:pPr>
        <w:jc w:val="both"/>
        <w:rPr>
          <w:rFonts w:cstheme="minorHAnsi"/>
          <w:sz w:val="24"/>
          <w:szCs w:val="24"/>
        </w:rPr>
      </w:pPr>
      <w:r w:rsidRPr="000A0CB3">
        <w:rPr>
          <w:rFonts w:cstheme="minorHAnsi"/>
          <w:sz w:val="24"/>
          <w:szCs w:val="24"/>
        </w:rPr>
        <w:t xml:space="preserve">Na </w:t>
      </w:r>
      <w:r w:rsidRPr="000A0CB3">
        <w:rPr>
          <w:rFonts w:cstheme="minorHAnsi"/>
          <w:b/>
          <w:bCs/>
          <w:sz w:val="24"/>
          <w:szCs w:val="24"/>
        </w:rPr>
        <w:t>Madeira</w:t>
      </w:r>
      <w:r w:rsidRPr="000A0CB3">
        <w:rPr>
          <w:rFonts w:cstheme="minorHAnsi"/>
          <w:sz w:val="24"/>
          <w:szCs w:val="24"/>
        </w:rPr>
        <w:t>, os parceiros do projeto são a EEM-Empresa de Eletricidade da Madeira e a ACIF – CCIM.</w:t>
      </w:r>
    </w:p>
    <w:p w14:paraId="10EEB74D" w14:textId="77777777" w:rsidR="00C67482" w:rsidRPr="000A0CB3" w:rsidRDefault="00C67482" w:rsidP="00C67482">
      <w:pPr>
        <w:jc w:val="both"/>
        <w:rPr>
          <w:rFonts w:cstheme="minorHAnsi"/>
          <w:sz w:val="24"/>
          <w:szCs w:val="24"/>
        </w:rPr>
      </w:pPr>
      <w:r w:rsidRPr="000A0CB3">
        <w:rPr>
          <w:rFonts w:cstheme="minorHAnsi"/>
          <w:sz w:val="24"/>
          <w:szCs w:val="24"/>
        </w:rPr>
        <w:lastRenderedPageBreak/>
        <w:t xml:space="preserve">Para efeitos de </w:t>
      </w:r>
      <w:r w:rsidRPr="000A0CB3">
        <w:rPr>
          <w:rFonts w:cstheme="minorHAnsi"/>
          <w:b/>
          <w:bCs/>
          <w:sz w:val="24"/>
          <w:szCs w:val="24"/>
        </w:rPr>
        <w:t>desenvolvimento e demonstração</w:t>
      </w:r>
      <w:r w:rsidRPr="000A0CB3">
        <w:rPr>
          <w:rFonts w:cstheme="minorHAnsi"/>
          <w:sz w:val="24"/>
          <w:szCs w:val="24"/>
        </w:rPr>
        <w:t xml:space="preserve">, foram selecionadas 3 ilhas, designadas por </w:t>
      </w:r>
      <w:r w:rsidRPr="000A0CB3">
        <w:rPr>
          <w:rFonts w:cstheme="minorHAnsi"/>
          <w:b/>
          <w:bCs/>
          <w:sz w:val="24"/>
          <w:szCs w:val="24"/>
        </w:rPr>
        <w:t xml:space="preserve">ilhas farol: </w:t>
      </w:r>
      <w:proofErr w:type="spellStart"/>
      <w:r w:rsidRPr="000A0CB3">
        <w:rPr>
          <w:rFonts w:cstheme="minorHAnsi"/>
          <w:b/>
          <w:bCs/>
          <w:sz w:val="24"/>
          <w:szCs w:val="24"/>
        </w:rPr>
        <w:t>Unije</w:t>
      </w:r>
      <w:proofErr w:type="spellEnd"/>
      <w:r w:rsidRPr="000A0CB3">
        <w:rPr>
          <w:rFonts w:cstheme="minorHAnsi"/>
          <w:b/>
          <w:bCs/>
          <w:sz w:val="24"/>
          <w:szCs w:val="24"/>
        </w:rPr>
        <w:t>, na Croácia, Bornholm, na Dinamarca e a Madeira</w:t>
      </w:r>
      <w:r w:rsidRPr="000A0CB3">
        <w:rPr>
          <w:rFonts w:cstheme="minorHAnsi"/>
          <w:sz w:val="24"/>
          <w:szCs w:val="24"/>
        </w:rPr>
        <w:t xml:space="preserve">, </w:t>
      </w:r>
      <w:r w:rsidRPr="000A0CB3">
        <w:rPr>
          <w:rFonts w:cstheme="minorHAnsi"/>
          <w:b/>
          <w:bCs/>
          <w:sz w:val="24"/>
          <w:szCs w:val="24"/>
        </w:rPr>
        <w:t>em Portugal</w:t>
      </w:r>
      <w:r w:rsidRPr="000A0CB3">
        <w:rPr>
          <w:rFonts w:cstheme="minorHAnsi"/>
          <w:sz w:val="24"/>
          <w:szCs w:val="24"/>
        </w:rPr>
        <w:t>.</w:t>
      </w:r>
    </w:p>
    <w:p w14:paraId="114DED8B" w14:textId="77777777" w:rsidR="000A4BF7" w:rsidRPr="000A0CB3" w:rsidRDefault="000A4BF7" w:rsidP="00C67482">
      <w:pPr>
        <w:jc w:val="both"/>
        <w:rPr>
          <w:rFonts w:cstheme="minorHAnsi"/>
          <w:sz w:val="24"/>
          <w:szCs w:val="24"/>
        </w:rPr>
      </w:pPr>
    </w:p>
    <w:p w14:paraId="62419A3D" w14:textId="77777777" w:rsidR="000A4BF7" w:rsidRPr="000A0CB3" w:rsidRDefault="000A4BF7" w:rsidP="00C67482">
      <w:pPr>
        <w:jc w:val="both"/>
        <w:rPr>
          <w:rFonts w:cstheme="minorHAnsi"/>
          <w:sz w:val="24"/>
          <w:szCs w:val="24"/>
        </w:rPr>
      </w:pPr>
    </w:p>
    <w:p w14:paraId="3275E4B4" w14:textId="77777777" w:rsidR="000A4BF7" w:rsidRPr="000A0CB3" w:rsidRDefault="000A4BF7" w:rsidP="00C67482">
      <w:pPr>
        <w:jc w:val="both"/>
        <w:rPr>
          <w:rFonts w:cstheme="minorHAnsi"/>
          <w:sz w:val="24"/>
          <w:szCs w:val="24"/>
        </w:rPr>
      </w:pPr>
    </w:p>
    <w:p w14:paraId="25561906" w14:textId="77777777" w:rsidR="000A4BF7" w:rsidRPr="000A0CB3" w:rsidRDefault="000A4BF7" w:rsidP="00C67482">
      <w:pPr>
        <w:jc w:val="both"/>
        <w:rPr>
          <w:rFonts w:cstheme="minorHAnsi"/>
          <w:sz w:val="24"/>
          <w:szCs w:val="24"/>
        </w:rPr>
      </w:pPr>
    </w:p>
    <w:p w14:paraId="2668AB43" w14:textId="6FD3A461" w:rsidR="00C67482" w:rsidRPr="000A0CB3" w:rsidRDefault="00C67482" w:rsidP="00C67482">
      <w:pPr>
        <w:jc w:val="both"/>
        <w:rPr>
          <w:rFonts w:cstheme="minorHAnsi"/>
          <w:sz w:val="24"/>
          <w:szCs w:val="24"/>
        </w:rPr>
      </w:pPr>
      <w:r w:rsidRPr="000A0CB3">
        <w:rPr>
          <w:rFonts w:cstheme="minorHAnsi"/>
          <w:sz w:val="24"/>
          <w:szCs w:val="24"/>
        </w:rPr>
        <w:t xml:space="preserve">O projeto também prevê a participação de 4 ilhas seguidoras: </w:t>
      </w:r>
      <w:proofErr w:type="spellStart"/>
      <w:r w:rsidRPr="000A0CB3">
        <w:rPr>
          <w:rFonts w:cstheme="minorHAnsi"/>
          <w:sz w:val="24"/>
          <w:szCs w:val="24"/>
        </w:rPr>
        <w:t>Menorca</w:t>
      </w:r>
      <w:proofErr w:type="spellEnd"/>
      <w:r w:rsidRPr="000A0CB3">
        <w:rPr>
          <w:rFonts w:cstheme="minorHAnsi"/>
          <w:sz w:val="24"/>
          <w:szCs w:val="24"/>
        </w:rPr>
        <w:t xml:space="preserve">, em Espanha, </w:t>
      </w:r>
      <w:proofErr w:type="spellStart"/>
      <w:r w:rsidRPr="000A0CB3">
        <w:rPr>
          <w:rFonts w:cstheme="minorHAnsi"/>
          <w:sz w:val="24"/>
          <w:szCs w:val="24"/>
        </w:rPr>
        <w:t>Norderney</w:t>
      </w:r>
      <w:proofErr w:type="spellEnd"/>
      <w:r w:rsidRPr="000A0CB3">
        <w:rPr>
          <w:rFonts w:cstheme="minorHAnsi"/>
          <w:sz w:val="24"/>
          <w:szCs w:val="24"/>
        </w:rPr>
        <w:t xml:space="preserve"> na Alemanha, Psara, na Grécia e a ilha francesa Marie-Galante, nas quais se pretende  incentivar a replicação das  práticas implementadas nas ilhas farol.</w:t>
      </w:r>
    </w:p>
    <w:p w14:paraId="6680F661" w14:textId="77777777" w:rsidR="00C67482" w:rsidRPr="000A0CB3" w:rsidRDefault="00C67482" w:rsidP="00C67482">
      <w:pPr>
        <w:jc w:val="both"/>
        <w:rPr>
          <w:rFonts w:cstheme="minorHAnsi"/>
          <w:b/>
          <w:bCs/>
          <w:sz w:val="24"/>
          <w:szCs w:val="24"/>
        </w:rPr>
      </w:pPr>
      <w:r w:rsidRPr="000A0CB3">
        <w:rPr>
          <w:rFonts w:cstheme="minorHAnsi"/>
          <w:b/>
          <w:bCs/>
          <w:sz w:val="24"/>
          <w:szCs w:val="24"/>
        </w:rPr>
        <w:t xml:space="preserve">O INSULAE irá incidir em várias tecnologias, entre as quais destacamos as duas que incidem no tema deste </w:t>
      </w:r>
      <w:r w:rsidRPr="000A0CB3">
        <w:rPr>
          <w:rFonts w:cstheme="minorHAnsi"/>
          <w:b/>
          <w:bCs/>
          <w:i/>
          <w:iCs/>
          <w:sz w:val="24"/>
          <w:szCs w:val="24"/>
        </w:rPr>
        <w:t>webinar</w:t>
      </w:r>
      <w:r w:rsidRPr="000A0CB3">
        <w:rPr>
          <w:rFonts w:cstheme="minorHAnsi"/>
          <w:b/>
          <w:bCs/>
          <w:sz w:val="24"/>
          <w:szCs w:val="24"/>
        </w:rPr>
        <w:t>,  designadamente a mobilidade elétrica ou mobilidade sustentável:</w:t>
      </w:r>
    </w:p>
    <w:p w14:paraId="7C78E590" w14:textId="77777777" w:rsidR="00C67482" w:rsidRPr="000A0CB3" w:rsidRDefault="00C67482" w:rsidP="00C67482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A0CB3">
        <w:rPr>
          <w:rFonts w:cstheme="minorHAnsi"/>
          <w:b/>
          <w:bCs/>
          <w:sz w:val="24"/>
          <w:szCs w:val="24"/>
        </w:rPr>
        <w:t xml:space="preserve">Carregamento bidirecional – </w:t>
      </w:r>
      <w:r w:rsidRPr="000A0CB3">
        <w:rPr>
          <w:rFonts w:cstheme="minorHAnsi"/>
          <w:sz w:val="24"/>
          <w:szCs w:val="24"/>
        </w:rPr>
        <w:t>esta tecnologia permite utilizar os veículos elétricos como sistemas de armazenamento energético, dos quais podem tirar partido não só os próprios utilizadores, como também a rede elétrica, através do fornecimento de serviços de sistema.</w:t>
      </w:r>
    </w:p>
    <w:p w14:paraId="450BCEF5" w14:textId="77777777" w:rsidR="00C67482" w:rsidRPr="000A0CB3" w:rsidRDefault="00C67482" w:rsidP="00C67482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A0CB3">
        <w:rPr>
          <w:rFonts w:cstheme="minorHAnsi"/>
          <w:b/>
          <w:bCs/>
          <w:sz w:val="24"/>
          <w:szCs w:val="24"/>
        </w:rPr>
        <w:t xml:space="preserve">Carregamento inteligente – </w:t>
      </w:r>
      <w:r w:rsidRPr="000A0CB3">
        <w:rPr>
          <w:rFonts w:cstheme="minorHAnsi"/>
          <w:sz w:val="24"/>
          <w:szCs w:val="24"/>
        </w:rPr>
        <w:t>esta tecnologia permite um controlo inteligente sobre a potência de carregamento dos veículos elétricos, através da otimização da energia proveniente de fontes renováveis, contribuindo para a suavização do impacte da eletrificação dos transportes sobre a rede elétrica.</w:t>
      </w:r>
    </w:p>
    <w:p w14:paraId="710F5A67" w14:textId="77777777" w:rsidR="00C67482" w:rsidRPr="000A0CB3" w:rsidRDefault="00C67482" w:rsidP="00C67482">
      <w:pPr>
        <w:jc w:val="both"/>
        <w:rPr>
          <w:rFonts w:cstheme="minorHAnsi"/>
          <w:sz w:val="24"/>
          <w:szCs w:val="24"/>
        </w:rPr>
      </w:pPr>
      <w:r w:rsidRPr="000A0CB3">
        <w:rPr>
          <w:rFonts w:cstheme="minorHAnsi"/>
          <w:sz w:val="24"/>
          <w:szCs w:val="24"/>
        </w:rPr>
        <w:t>Para além do foco na mobilidade elétrica sustentável, o projeto INSULAE também irá demonstrar na ilha da Madeira um sistema de armazenamento energético baseado em baterias, como reforço das redes de distribuição elétricas.</w:t>
      </w:r>
    </w:p>
    <w:p w14:paraId="6DC9E4AF" w14:textId="77777777" w:rsidR="00C67482" w:rsidRPr="00C67482" w:rsidRDefault="00C67482" w:rsidP="00C674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2B4CEC6" w14:textId="1CB7C7C8" w:rsidR="00EC63D8" w:rsidRPr="00C67482" w:rsidRDefault="00EC63D8" w:rsidP="00C674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C9797FE" w14:textId="3FDCE095" w:rsidR="00EC63D8" w:rsidRDefault="00EC63D8" w:rsidP="00EC63D8">
      <w:r>
        <w:rPr>
          <w:rFonts w:eastAsia="Times New Roman"/>
          <w:noProof/>
        </w:rPr>
        <w:drawing>
          <wp:inline distT="0" distB="0" distL="0" distR="0" wp14:anchorId="17A085A7" wp14:editId="1EC99C36">
            <wp:extent cx="5400040" cy="1527175"/>
            <wp:effectExtent l="0" t="0" r="0" b="0"/>
            <wp:docPr id="9" name="Imagem 9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EC63D8" w14:paraId="69DEB004" w14:textId="77777777" w:rsidTr="00C67482">
        <w:tc>
          <w:tcPr>
            <w:tcW w:w="8504" w:type="dxa"/>
          </w:tcPr>
          <w:p w14:paraId="3C10C191" w14:textId="0621F90E" w:rsidR="00EC63D8" w:rsidRDefault="00EC63D8">
            <w:pPr>
              <w:rPr>
                <w:rFonts w:eastAsia="Times New Roman"/>
                <w:color w:val="808080"/>
              </w:rPr>
            </w:pPr>
            <w:r>
              <w:rPr>
                <w:rFonts w:eastAsia="Times New Roman"/>
                <w:color w:val="808080"/>
              </w:rPr>
              <w:t> </w:t>
            </w:r>
          </w:p>
        </w:tc>
      </w:tr>
    </w:tbl>
    <w:p w14:paraId="1F136937" w14:textId="77777777" w:rsidR="00EC63D8" w:rsidRDefault="00EC63D8" w:rsidP="00EC63D8">
      <w:pPr>
        <w:rPr>
          <w:rFonts w:ascii="Calibri" w:eastAsia="Times New Roman" w:hAnsi="Calibri" w:cs="Calibri"/>
        </w:rPr>
      </w:pPr>
    </w:p>
    <w:tbl>
      <w:tblPr>
        <w:tblW w:w="8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5985"/>
      </w:tblGrid>
      <w:tr w:rsidR="00EC63D8" w14:paraId="68A072EA" w14:textId="77777777" w:rsidTr="00EC63D8">
        <w:tc>
          <w:tcPr>
            <w:tcW w:w="2715" w:type="dxa"/>
            <w:hideMark/>
          </w:tcPr>
          <w:tbl>
            <w:tblPr>
              <w:tblW w:w="27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5"/>
            </w:tblGrid>
            <w:tr w:rsidR="00EC63D8" w14:paraId="200B8F20" w14:textId="77777777">
              <w:tc>
                <w:tcPr>
                  <w:tcW w:w="2715" w:type="dxa"/>
                  <w:hideMark/>
                </w:tcPr>
                <w:p w14:paraId="46B81BB3" w14:textId="7C721961" w:rsidR="00EC63D8" w:rsidRDefault="00EC63D8">
                  <w:pPr>
                    <w:spacing w:line="0" w:lineRule="atLeast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lastRenderedPageBreak/>
                    <w:drawing>
                      <wp:inline distT="0" distB="0" distL="0" distR="0" wp14:anchorId="35BFF75E" wp14:editId="11802758">
                        <wp:extent cx="952500" cy="657225"/>
                        <wp:effectExtent l="0" t="0" r="0" b="9525"/>
                        <wp:docPr id="13" name="Imagem 13" descr="imag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imag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67E8415" w14:textId="77777777" w:rsidR="00EC63D8" w:rsidRDefault="00EC63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5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5"/>
            </w:tblGrid>
            <w:tr w:rsidR="00EC63D8" w14:paraId="4AC8B696" w14:textId="77777777">
              <w:tc>
                <w:tcPr>
                  <w:tcW w:w="5985" w:type="dxa"/>
                  <w:hideMark/>
                </w:tcPr>
                <w:p w14:paraId="6E9E0214" w14:textId="77777777" w:rsidR="00EC63D8" w:rsidRDefault="00EC63D8">
                  <w:pPr>
                    <w:jc w:val="both"/>
                    <w:rPr>
                      <w:rFonts w:ascii="Calibri" w:eastAsia="Times New Roman" w:hAnsi="Calibri" w:cs="Calibri"/>
                      <w:color w:val="80808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This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project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has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received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funding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from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the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European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Union’s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Horizon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2020 research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and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innovation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programme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under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Grant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Agreement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No 824433</w:t>
                  </w: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rStyle w:val="Forte"/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Disclaimer</w:t>
                  </w:r>
                  <w:proofErr w:type="spellEnd"/>
                  <w:r>
                    <w:rPr>
                      <w:rStyle w:val="Forte"/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Style w:val="Forte"/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excluding</w:t>
                  </w:r>
                  <w:proofErr w:type="spellEnd"/>
                  <w:r>
                    <w:rPr>
                      <w:rStyle w:val="Forte"/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Style w:val="Forte"/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Agency</w:t>
                  </w:r>
                  <w:proofErr w:type="spellEnd"/>
                  <w:r>
                    <w:rPr>
                      <w:rStyle w:val="Forte"/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Style w:val="Forte"/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responsibility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Any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dissemination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of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results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must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indicate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that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it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reflects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only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the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author's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view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and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that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the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Agency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not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responsible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for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any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use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that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may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be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made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of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the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information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it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contains</w:t>
                  </w:r>
                  <w:proofErr w:type="spellEnd"/>
                </w:p>
                <w:p w14:paraId="3EC29B33" w14:textId="77777777" w:rsidR="00EC63D8" w:rsidRDefault="00EC63D8">
                  <w:pPr>
                    <w:rPr>
                      <w:rFonts w:eastAsia="Times New Roman"/>
                      <w:color w:val="808080"/>
                    </w:rPr>
                  </w:pPr>
                  <w:r>
                    <w:rPr>
                      <w:rFonts w:eastAsia="Times New Roman"/>
                      <w:color w:val="808080"/>
                    </w:rPr>
                    <w:br/>
                    <w:t> </w:t>
                  </w:r>
                </w:p>
              </w:tc>
            </w:tr>
          </w:tbl>
          <w:p w14:paraId="11118823" w14:textId="77777777" w:rsidR="00EC63D8" w:rsidRDefault="00EC63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9095FC" w14:textId="77777777" w:rsidR="00EC63D8" w:rsidRDefault="00EC63D8" w:rsidP="000A0CB3"/>
    <w:sectPr w:rsidR="00EC6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B1FF1" w14:textId="77777777" w:rsidR="00DC5350" w:rsidRDefault="00DC5350" w:rsidP="00C67482">
      <w:pPr>
        <w:spacing w:after="0" w:line="240" w:lineRule="auto"/>
      </w:pPr>
      <w:r>
        <w:separator/>
      </w:r>
    </w:p>
  </w:endnote>
  <w:endnote w:type="continuationSeparator" w:id="0">
    <w:p w14:paraId="7B8013BA" w14:textId="77777777" w:rsidR="00DC5350" w:rsidRDefault="00DC5350" w:rsidP="00C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B357E" w14:textId="77777777" w:rsidR="00DC5350" w:rsidRDefault="00DC5350" w:rsidP="00C67482">
      <w:pPr>
        <w:spacing w:after="0" w:line="240" w:lineRule="auto"/>
      </w:pPr>
      <w:r>
        <w:separator/>
      </w:r>
    </w:p>
  </w:footnote>
  <w:footnote w:type="continuationSeparator" w:id="0">
    <w:p w14:paraId="08DBB1F5" w14:textId="77777777" w:rsidR="00DC5350" w:rsidRDefault="00DC5350" w:rsidP="00C67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67EF5"/>
    <w:multiLevelType w:val="hybridMultilevel"/>
    <w:tmpl w:val="8E68BCF2"/>
    <w:lvl w:ilvl="0" w:tplc="3372F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4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26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01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07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E8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C2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C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07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D8"/>
    <w:rsid w:val="00064649"/>
    <w:rsid w:val="00073811"/>
    <w:rsid w:val="000A0CB3"/>
    <w:rsid w:val="000A4BF7"/>
    <w:rsid w:val="001815D9"/>
    <w:rsid w:val="002D5C2B"/>
    <w:rsid w:val="008037F3"/>
    <w:rsid w:val="00C55A11"/>
    <w:rsid w:val="00C67482"/>
    <w:rsid w:val="00DC5350"/>
    <w:rsid w:val="00E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EAF9"/>
  <w15:chartTrackingRefBased/>
  <w15:docId w15:val="{BC9A478A-60FA-45CF-A160-3E146E2C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C63D8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EC63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C67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67482"/>
  </w:style>
  <w:style w:type="paragraph" w:styleId="Rodap">
    <w:name w:val="footer"/>
    <w:basedOn w:val="Normal"/>
    <w:link w:val="RodapCarter"/>
    <w:uiPriority w:val="99"/>
    <w:unhideWhenUsed/>
    <w:rsid w:val="00C67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6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mkt.acif-ccim.pt/recursos/b28ba5a6ee52d33bef828a63e41402a0/Image/.c509f61087d1f2c8f4e0698c67f1792a/100px_f5ff344736d484734411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Lizete Gonçalves - ACIF-CCIM</dc:creator>
  <cp:keywords/>
  <dc:description/>
  <cp:lastModifiedBy>Frederica Cardoso</cp:lastModifiedBy>
  <cp:revision>6</cp:revision>
  <dcterms:created xsi:type="dcterms:W3CDTF">2021-01-19T12:17:00Z</dcterms:created>
  <dcterms:modified xsi:type="dcterms:W3CDTF">2021-02-10T16:45:00Z</dcterms:modified>
</cp:coreProperties>
</file>